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B22" w:rsidRPr="00530CE1" w:rsidRDefault="001D4214" w:rsidP="002843E8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r w:rsidRPr="00530CE1">
        <w:rPr>
          <w:rFonts w:ascii="Garamond" w:hAnsi="Garamond" w:cs="Arial"/>
          <w:b/>
          <w:bCs/>
          <w:sz w:val="24"/>
          <w:szCs w:val="24"/>
        </w:rPr>
        <w:t xml:space="preserve">Avviso per indagine di mercato - </w:t>
      </w:r>
      <w:r w:rsidR="00933B22" w:rsidRPr="00530CE1">
        <w:rPr>
          <w:rFonts w:ascii="Garamond" w:hAnsi="Garamond" w:cs="Arial"/>
          <w:b/>
          <w:bCs/>
          <w:sz w:val="24"/>
          <w:szCs w:val="24"/>
        </w:rPr>
        <w:t xml:space="preserve">ALLEGATO </w:t>
      </w:r>
      <w:r w:rsidR="004B74AD" w:rsidRPr="00530CE1">
        <w:rPr>
          <w:rFonts w:ascii="Garamond" w:hAnsi="Garamond" w:cs="Arial"/>
          <w:b/>
          <w:bCs/>
          <w:sz w:val="24"/>
          <w:szCs w:val="24"/>
        </w:rPr>
        <w:t>B</w:t>
      </w:r>
    </w:p>
    <w:p w:rsidR="00A23A58" w:rsidRPr="00530CE1" w:rsidRDefault="004B74AD" w:rsidP="002843E8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/>
          <w:bCs/>
          <w:sz w:val="24"/>
          <w:szCs w:val="24"/>
        </w:rPr>
      </w:pPr>
      <w:r w:rsidRPr="00530CE1">
        <w:rPr>
          <w:rFonts w:ascii="Garamond" w:hAnsi="Garamond" w:cs="Arial"/>
          <w:b/>
          <w:bCs/>
          <w:sz w:val="24"/>
          <w:szCs w:val="24"/>
        </w:rPr>
        <w:t>Preventivo</w:t>
      </w:r>
    </w:p>
    <w:p w:rsidR="000751F8" w:rsidRPr="00530CE1" w:rsidRDefault="000751F8" w:rsidP="002843E8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Cs/>
          <w:sz w:val="24"/>
          <w:szCs w:val="24"/>
          <w:highlight w:val="yellow"/>
        </w:rPr>
      </w:pPr>
    </w:p>
    <w:p w:rsidR="000F0905" w:rsidRPr="00530CE1" w:rsidRDefault="000F0905" w:rsidP="002843E8">
      <w:pPr>
        <w:autoSpaceDE w:val="0"/>
        <w:autoSpaceDN w:val="0"/>
        <w:adjustRightInd w:val="0"/>
        <w:spacing w:after="0"/>
        <w:jc w:val="center"/>
        <w:rPr>
          <w:rFonts w:ascii="Garamond" w:hAnsi="Garamond" w:cs="Arial"/>
          <w:bCs/>
          <w:sz w:val="24"/>
          <w:szCs w:val="24"/>
        </w:rPr>
      </w:pPr>
      <w:r w:rsidRPr="00530CE1">
        <w:rPr>
          <w:rFonts w:ascii="Garamond" w:hAnsi="Garamond" w:cs="Arial"/>
          <w:bCs/>
          <w:sz w:val="24"/>
          <w:szCs w:val="24"/>
          <w:highlight w:val="yellow"/>
        </w:rPr>
        <w:t>(Da riportare su carta intestata)</w:t>
      </w:r>
    </w:p>
    <w:p w:rsidR="00933B22" w:rsidRPr="00530CE1" w:rsidRDefault="00933B22" w:rsidP="002843E8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Cs/>
          <w:sz w:val="24"/>
          <w:szCs w:val="24"/>
        </w:rPr>
      </w:pPr>
    </w:p>
    <w:p w:rsidR="002B78A3" w:rsidRPr="00530CE1" w:rsidRDefault="002B78A3" w:rsidP="002843E8">
      <w:pPr>
        <w:autoSpaceDE w:val="0"/>
        <w:autoSpaceDN w:val="0"/>
        <w:adjustRightInd w:val="0"/>
        <w:spacing w:after="0"/>
        <w:jc w:val="both"/>
        <w:rPr>
          <w:rFonts w:ascii="Garamond" w:hAnsi="Garamond" w:cs="Arial"/>
          <w:bCs/>
          <w:sz w:val="24"/>
          <w:szCs w:val="24"/>
        </w:rPr>
      </w:pPr>
    </w:p>
    <w:p w:rsidR="00933B22" w:rsidRPr="00530CE1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530CE1">
        <w:rPr>
          <w:rFonts w:ascii="Garamond" w:hAnsi="Garamond" w:cs="Arial"/>
          <w:color w:val="000000"/>
          <w:sz w:val="24"/>
          <w:szCs w:val="24"/>
        </w:rPr>
        <w:t>Spett.le</w:t>
      </w:r>
    </w:p>
    <w:p w:rsidR="00933B22" w:rsidRPr="00530CE1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530CE1">
        <w:rPr>
          <w:rFonts w:ascii="Garamond" w:hAnsi="Garamond" w:cs="Arial"/>
          <w:bCs/>
          <w:color w:val="000000"/>
          <w:sz w:val="24"/>
          <w:szCs w:val="24"/>
        </w:rPr>
        <w:t>Fond</w:t>
      </w:r>
      <w:r w:rsidR="005D0ED7" w:rsidRPr="00530CE1">
        <w:rPr>
          <w:rFonts w:ascii="Garamond" w:hAnsi="Garamond" w:cs="Arial"/>
          <w:bCs/>
          <w:color w:val="000000"/>
          <w:sz w:val="24"/>
          <w:szCs w:val="24"/>
        </w:rPr>
        <w:t>o</w:t>
      </w:r>
      <w:r w:rsidRPr="00530CE1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="005D0ED7" w:rsidRPr="00530CE1">
        <w:rPr>
          <w:rFonts w:ascii="Garamond" w:hAnsi="Garamond" w:cs="Arial"/>
          <w:bCs/>
          <w:color w:val="000000"/>
          <w:sz w:val="24"/>
          <w:szCs w:val="24"/>
        </w:rPr>
        <w:t>Banche Assicurazioni</w:t>
      </w:r>
    </w:p>
    <w:p w:rsidR="00933B22" w:rsidRPr="00530CE1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530CE1">
        <w:rPr>
          <w:rFonts w:ascii="Garamond" w:hAnsi="Garamond" w:cs="Arial"/>
          <w:color w:val="000000"/>
          <w:sz w:val="24"/>
          <w:szCs w:val="24"/>
        </w:rPr>
        <w:t xml:space="preserve">Via </w:t>
      </w:r>
      <w:r w:rsidR="005D0ED7" w:rsidRPr="00530CE1">
        <w:rPr>
          <w:rFonts w:ascii="Garamond" w:hAnsi="Garamond" w:cs="Arial"/>
          <w:color w:val="000000"/>
          <w:sz w:val="24"/>
          <w:szCs w:val="24"/>
        </w:rPr>
        <w:t>Tomacelli</w:t>
      </w:r>
      <w:r w:rsidRPr="00530CE1">
        <w:rPr>
          <w:rFonts w:ascii="Garamond" w:hAnsi="Garamond" w:cs="Arial"/>
          <w:color w:val="000000"/>
          <w:sz w:val="24"/>
          <w:szCs w:val="24"/>
        </w:rPr>
        <w:t xml:space="preserve">, </w:t>
      </w:r>
      <w:r w:rsidR="005D0ED7" w:rsidRPr="00530CE1">
        <w:rPr>
          <w:rFonts w:ascii="Garamond" w:hAnsi="Garamond" w:cs="Arial"/>
          <w:color w:val="000000"/>
          <w:sz w:val="24"/>
          <w:szCs w:val="24"/>
        </w:rPr>
        <w:t>1</w:t>
      </w:r>
      <w:r w:rsidRPr="00530CE1">
        <w:rPr>
          <w:rFonts w:ascii="Garamond" w:hAnsi="Garamond" w:cs="Arial"/>
          <w:color w:val="000000"/>
          <w:sz w:val="24"/>
          <w:szCs w:val="24"/>
        </w:rPr>
        <w:t>3</w:t>
      </w:r>
      <w:r w:rsidR="005D0ED7" w:rsidRPr="00530CE1">
        <w:rPr>
          <w:rFonts w:ascii="Garamond" w:hAnsi="Garamond" w:cs="Arial"/>
          <w:color w:val="000000"/>
          <w:sz w:val="24"/>
          <w:szCs w:val="24"/>
        </w:rPr>
        <w:t>2</w:t>
      </w:r>
    </w:p>
    <w:p w:rsidR="00933B22" w:rsidRPr="00530CE1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  <w:r w:rsidRPr="00530CE1">
        <w:rPr>
          <w:rFonts w:ascii="Garamond" w:hAnsi="Garamond" w:cs="Arial"/>
          <w:color w:val="000000"/>
          <w:sz w:val="24"/>
          <w:szCs w:val="24"/>
        </w:rPr>
        <w:t>001</w:t>
      </w:r>
      <w:r w:rsidR="005D0ED7" w:rsidRPr="00530CE1">
        <w:rPr>
          <w:rFonts w:ascii="Garamond" w:hAnsi="Garamond" w:cs="Arial"/>
          <w:color w:val="000000"/>
          <w:sz w:val="24"/>
          <w:szCs w:val="24"/>
        </w:rPr>
        <w:t>86</w:t>
      </w:r>
      <w:r w:rsidRPr="00530CE1">
        <w:rPr>
          <w:rFonts w:ascii="Garamond" w:hAnsi="Garamond" w:cs="Arial"/>
          <w:color w:val="000000"/>
          <w:sz w:val="24"/>
          <w:szCs w:val="24"/>
        </w:rPr>
        <w:t xml:space="preserve"> ROMA</w:t>
      </w:r>
    </w:p>
    <w:p w:rsidR="00933B22" w:rsidRPr="00530CE1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933B22" w:rsidRPr="00530CE1" w:rsidRDefault="00933B22" w:rsidP="002843E8">
      <w:pPr>
        <w:autoSpaceDE w:val="0"/>
        <w:autoSpaceDN w:val="0"/>
        <w:adjustRightInd w:val="0"/>
        <w:spacing w:after="0"/>
        <w:ind w:left="6096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530CE1" w:rsidRPr="00530CE1" w:rsidRDefault="00933B22" w:rsidP="00530CE1">
      <w:pPr>
        <w:widowControl w:val="0"/>
        <w:shd w:val="clear" w:color="auto" w:fill="FFFFFF"/>
        <w:spacing w:after="60" w:line="320" w:lineRule="exact"/>
        <w:ind w:left="1276" w:hanging="1276"/>
        <w:jc w:val="both"/>
        <w:rPr>
          <w:rFonts w:ascii="Garamond" w:hAnsi="Garamond" w:cs="Arial"/>
          <w:sz w:val="24"/>
          <w:szCs w:val="24"/>
        </w:rPr>
      </w:pPr>
      <w:r w:rsidRPr="00530CE1">
        <w:rPr>
          <w:rFonts w:ascii="Garamond" w:hAnsi="Garamond" w:cs="Arial"/>
          <w:b/>
          <w:bCs/>
          <w:color w:val="000000"/>
          <w:sz w:val="24"/>
          <w:szCs w:val="24"/>
        </w:rPr>
        <w:t>Oggetto</w:t>
      </w:r>
      <w:r w:rsidRPr="00530CE1">
        <w:rPr>
          <w:rFonts w:ascii="Garamond" w:hAnsi="Garamond" w:cs="Arial"/>
          <w:bCs/>
          <w:color w:val="000000"/>
          <w:sz w:val="24"/>
          <w:szCs w:val="24"/>
        </w:rPr>
        <w:t xml:space="preserve">: </w:t>
      </w:r>
      <w:r w:rsidR="00530CE1" w:rsidRPr="00530CE1">
        <w:rPr>
          <w:rFonts w:ascii="Garamond" w:hAnsi="Garamond" w:cs="Arial"/>
          <w:bCs/>
          <w:color w:val="000000"/>
          <w:sz w:val="24"/>
          <w:szCs w:val="24"/>
        </w:rPr>
        <w:t xml:space="preserve">      </w:t>
      </w:r>
      <w:r w:rsidR="00530CE1" w:rsidRPr="00530CE1">
        <w:rPr>
          <w:rFonts w:ascii="Garamond" w:hAnsi="Garamond" w:cs="Arial"/>
          <w:sz w:val="24"/>
          <w:szCs w:val="24"/>
        </w:rPr>
        <w:t>indagine di mercato, tramite procedura telematica, per l’acquisizione di preventivi da pa</w:t>
      </w:r>
      <w:r w:rsidR="00530CE1" w:rsidRPr="00530CE1">
        <w:rPr>
          <w:rFonts w:ascii="Garamond" w:hAnsi="Garamond" w:cs="Arial"/>
          <w:sz w:val="24"/>
          <w:szCs w:val="24"/>
        </w:rPr>
        <w:t>r</w:t>
      </w:r>
      <w:r w:rsidR="00530CE1" w:rsidRPr="00530CE1">
        <w:rPr>
          <w:rFonts w:ascii="Garamond" w:hAnsi="Garamond" w:cs="Arial"/>
          <w:sz w:val="24"/>
          <w:szCs w:val="24"/>
        </w:rPr>
        <w:t>te di Operatori Economici in relazione alla procedura per l’affidamento diretto, ex art. 36, comma 2 lettera a), del D. Lgs. n. 50 del 2016, del servizio di telefonia mobile</w:t>
      </w:r>
      <w:bookmarkStart w:id="0" w:name="more"/>
      <w:bookmarkEnd w:id="0"/>
      <w:r w:rsidR="00530CE1" w:rsidRPr="00530CE1">
        <w:rPr>
          <w:rFonts w:ascii="Garamond" w:hAnsi="Garamond" w:cs="Arial"/>
          <w:sz w:val="24"/>
          <w:szCs w:val="24"/>
        </w:rPr>
        <w:t>.</w:t>
      </w:r>
      <w:r w:rsidR="000326A1">
        <w:rPr>
          <w:rFonts w:ascii="Garamond" w:hAnsi="Garamond" w:cs="Arial"/>
          <w:sz w:val="24"/>
          <w:szCs w:val="24"/>
        </w:rPr>
        <w:t xml:space="preserve"> </w:t>
      </w:r>
      <w:r w:rsidR="00680E58" w:rsidRPr="00A61CB6">
        <w:rPr>
          <w:rFonts w:ascii="Garamond" w:hAnsi="Garamond" w:cs="Verdana"/>
          <w:sz w:val="24"/>
          <w:szCs w:val="24"/>
        </w:rPr>
        <w:t>CIG</w:t>
      </w:r>
      <w:r w:rsidR="00680E58">
        <w:rPr>
          <w:rFonts w:ascii="Garamond" w:hAnsi="Garamond" w:cs="Verdana"/>
          <w:sz w:val="24"/>
          <w:szCs w:val="24"/>
        </w:rPr>
        <w:t xml:space="preserve"> </w:t>
      </w:r>
      <w:r w:rsidR="00680E58" w:rsidRPr="00A61CB6">
        <w:rPr>
          <w:rFonts w:ascii="Garamond" w:hAnsi="Garamond" w:cs="Verdana"/>
          <w:sz w:val="24"/>
          <w:szCs w:val="24"/>
        </w:rPr>
        <w:t>77329632F1</w:t>
      </w:r>
      <w:r w:rsidR="00680E58">
        <w:rPr>
          <w:rFonts w:ascii="Garamond" w:hAnsi="Garamond" w:cs="Verdana"/>
          <w:sz w:val="24"/>
          <w:szCs w:val="24"/>
        </w:rPr>
        <w:t>.</w:t>
      </w:r>
      <w:bookmarkStart w:id="1" w:name="_GoBack"/>
      <w:bookmarkEnd w:id="1"/>
    </w:p>
    <w:p w:rsidR="00933B22" w:rsidRPr="00530CE1" w:rsidRDefault="00933B22" w:rsidP="00530CE1">
      <w:pPr>
        <w:widowControl w:val="0"/>
        <w:autoSpaceDE w:val="0"/>
        <w:autoSpaceDN w:val="0"/>
        <w:adjustRightInd w:val="0"/>
        <w:spacing w:after="0"/>
        <w:jc w:val="both"/>
        <w:rPr>
          <w:rFonts w:ascii="Garamond" w:hAnsi="Garamond" w:cs="Arial"/>
          <w:sz w:val="24"/>
          <w:szCs w:val="24"/>
        </w:rPr>
      </w:pPr>
    </w:p>
    <w:p w:rsidR="00C0472C" w:rsidRPr="00530CE1" w:rsidRDefault="00993DE6" w:rsidP="00530CE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30CE1">
        <w:rPr>
          <w:rFonts w:ascii="Garamond" w:hAnsi="Garamond" w:cs="Arial"/>
          <w:color w:val="000000"/>
          <w:sz w:val="24"/>
          <w:szCs w:val="24"/>
        </w:rPr>
        <w:t>Il sottoscritto ..................................................</w:t>
      </w:r>
      <w:r w:rsidR="00530CE1">
        <w:rPr>
          <w:rFonts w:ascii="Garamond" w:hAnsi="Garamond" w:cs="Arial"/>
          <w:color w:val="000000"/>
          <w:sz w:val="24"/>
          <w:szCs w:val="24"/>
        </w:rPr>
        <w:t>..............</w:t>
      </w:r>
      <w:r w:rsidRPr="00530CE1">
        <w:rPr>
          <w:rFonts w:ascii="Garamond" w:hAnsi="Garamond" w:cs="Arial"/>
          <w:color w:val="000000"/>
          <w:sz w:val="24"/>
          <w:szCs w:val="24"/>
        </w:rPr>
        <w:t>.....,</w:t>
      </w:r>
      <w:r w:rsidR="00530CE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530CE1">
        <w:rPr>
          <w:rFonts w:ascii="Garamond" w:hAnsi="Garamond" w:cs="Arial"/>
          <w:color w:val="000000"/>
          <w:sz w:val="24"/>
          <w:szCs w:val="24"/>
        </w:rPr>
        <w:t>nato a ....</w:t>
      </w:r>
      <w:r w:rsidR="00530CE1">
        <w:rPr>
          <w:rFonts w:ascii="Garamond" w:hAnsi="Garamond" w:cs="Arial"/>
          <w:color w:val="000000"/>
          <w:sz w:val="24"/>
          <w:szCs w:val="24"/>
        </w:rPr>
        <w:t>..........</w:t>
      </w:r>
      <w:r w:rsidRPr="00530CE1">
        <w:rPr>
          <w:rFonts w:ascii="Garamond" w:hAnsi="Garamond" w:cs="Arial"/>
          <w:color w:val="000000"/>
          <w:sz w:val="24"/>
          <w:szCs w:val="24"/>
        </w:rPr>
        <w:t>............................................................ il..........</w:t>
      </w:r>
      <w:r w:rsidR="00530CE1">
        <w:rPr>
          <w:rFonts w:ascii="Garamond" w:hAnsi="Garamond" w:cs="Arial"/>
          <w:color w:val="000000"/>
          <w:sz w:val="24"/>
          <w:szCs w:val="24"/>
        </w:rPr>
        <w:t>........................</w:t>
      </w:r>
      <w:r w:rsidRPr="00530CE1">
        <w:rPr>
          <w:rFonts w:ascii="Garamond" w:hAnsi="Garamond" w:cs="Arial"/>
          <w:color w:val="000000"/>
          <w:sz w:val="24"/>
          <w:szCs w:val="24"/>
        </w:rPr>
        <w:t>....., in qualità di legale rappresentante ovvero di procuratore, giusta procura gener</w:t>
      </w:r>
      <w:r w:rsidRPr="00530CE1">
        <w:rPr>
          <w:rFonts w:ascii="Garamond" w:hAnsi="Garamond" w:cs="Arial"/>
          <w:color w:val="000000"/>
          <w:sz w:val="24"/>
          <w:szCs w:val="24"/>
        </w:rPr>
        <w:t>a</w:t>
      </w:r>
      <w:r w:rsidRPr="00530CE1">
        <w:rPr>
          <w:rFonts w:ascii="Garamond" w:hAnsi="Garamond" w:cs="Arial"/>
          <w:color w:val="000000"/>
          <w:sz w:val="24"/>
          <w:szCs w:val="24"/>
        </w:rPr>
        <w:t xml:space="preserve">le/speciale n. rep. …………………. del ……….…………(allegata in originale o in copia autenticata) dell’Operatore Economico ………………….…………………………………….………………… </w:t>
      </w:r>
      <w:r w:rsidRPr="00530CE1">
        <w:rPr>
          <w:rFonts w:ascii="Garamond" w:hAnsi="Garamond" w:cs="Arial"/>
          <w:sz w:val="24"/>
          <w:szCs w:val="24"/>
        </w:rPr>
        <w:t xml:space="preserve">con sede in …………………...........………… Via .......................……………………….…………… </w:t>
      </w:r>
    </w:p>
    <w:p w:rsidR="00933B22" w:rsidRPr="00530CE1" w:rsidRDefault="00993DE6" w:rsidP="00530CE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530CE1">
        <w:rPr>
          <w:rFonts w:ascii="Garamond" w:hAnsi="Garamond" w:cs="Arial"/>
          <w:sz w:val="24"/>
          <w:szCs w:val="24"/>
        </w:rPr>
        <w:t>Cap: ………………………. C.F.: ……………..………………… P.I.:….……………………….…</w:t>
      </w:r>
    </w:p>
    <w:p w:rsidR="00933B22" w:rsidRPr="00530CE1" w:rsidRDefault="00993DE6" w:rsidP="00530CE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sz w:val="24"/>
          <w:szCs w:val="24"/>
        </w:rPr>
      </w:pPr>
      <w:r w:rsidRPr="00530CE1">
        <w:rPr>
          <w:rFonts w:ascii="Garamond" w:hAnsi="Garamond" w:cs="Arial"/>
          <w:sz w:val="24"/>
          <w:szCs w:val="24"/>
        </w:rPr>
        <w:t>preso atto del contenuto dell’avviso esplorativo “</w:t>
      </w:r>
      <w:r w:rsidRPr="00530CE1">
        <w:rPr>
          <w:rFonts w:ascii="Garamond" w:hAnsi="Garamond" w:cs="Arial"/>
          <w:bCs/>
          <w:i/>
          <w:sz w:val="24"/>
          <w:szCs w:val="24"/>
        </w:rPr>
        <w:t xml:space="preserve">Indagine di mercato per la presentazione di </w:t>
      </w:r>
      <w:r w:rsidR="000326A1">
        <w:rPr>
          <w:rFonts w:ascii="Garamond" w:hAnsi="Garamond" w:cs="Arial"/>
          <w:bCs/>
          <w:i/>
          <w:sz w:val="24"/>
          <w:szCs w:val="24"/>
        </w:rPr>
        <w:t>preventivi</w:t>
      </w:r>
      <w:r w:rsidRPr="00530CE1">
        <w:rPr>
          <w:rFonts w:ascii="Garamond" w:hAnsi="Garamond" w:cs="Arial"/>
          <w:bCs/>
          <w:i/>
          <w:sz w:val="24"/>
          <w:szCs w:val="24"/>
        </w:rPr>
        <w:t xml:space="preserve"> per l’affidamento del servizio </w:t>
      </w:r>
      <w:r w:rsidR="00530CE1" w:rsidRPr="00530CE1">
        <w:rPr>
          <w:rFonts w:ascii="Garamond" w:hAnsi="Garamond" w:cs="Arial"/>
          <w:bCs/>
          <w:i/>
          <w:sz w:val="24"/>
          <w:szCs w:val="24"/>
        </w:rPr>
        <w:t>di telefonia mobile</w:t>
      </w:r>
      <w:r w:rsidRPr="00530CE1">
        <w:rPr>
          <w:rFonts w:ascii="Garamond" w:hAnsi="Garamond" w:cs="Arial"/>
          <w:bCs/>
          <w:sz w:val="24"/>
          <w:szCs w:val="24"/>
        </w:rPr>
        <w:t>”</w:t>
      </w:r>
      <w:r w:rsidR="00C0472C" w:rsidRPr="00530CE1">
        <w:rPr>
          <w:rFonts w:ascii="Garamond" w:hAnsi="Garamond" w:cs="Arial"/>
          <w:sz w:val="24"/>
          <w:szCs w:val="24"/>
        </w:rPr>
        <w:t xml:space="preserve"> </w:t>
      </w:r>
      <w:r w:rsidR="00933B22" w:rsidRPr="00530CE1">
        <w:rPr>
          <w:rFonts w:ascii="Garamond" w:hAnsi="Garamond" w:cs="Arial"/>
          <w:sz w:val="24"/>
          <w:szCs w:val="24"/>
        </w:rPr>
        <w:t>e dei suoi allegati, le cui prescrizioni si intendono integ</w:t>
      </w:r>
      <w:r w:rsidRPr="00530CE1">
        <w:rPr>
          <w:rFonts w:ascii="Garamond" w:hAnsi="Garamond" w:cs="Arial"/>
          <w:sz w:val="24"/>
          <w:szCs w:val="24"/>
        </w:rPr>
        <w:t>ralmente conosciute ed accettate,</w:t>
      </w:r>
    </w:p>
    <w:p w:rsidR="00A04F52" w:rsidRPr="00530CE1" w:rsidRDefault="00993DE6" w:rsidP="00530CE1">
      <w:pPr>
        <w:pStyle w:val="Default"/>
        <w:spacing w:line="360" w:lineRule="auto"/>
        <w:jc w:val="center"/>
        <w:rPr>
          <w:rFonts w:ascii="Garamond" w:eastAsiaTheme="minorHAnsi" w:hAnsi="Garamond" w:cs="Arial"/>
          <w:b/>
          <w:color w:val="auto"/>
          <w:lang w:eastAsia="en-US"/>
        </w:rPr>
      </w:pPr>
      <w:r w:rsidRPr="00530CE1">
        <w:rPr>
          <w:rFonts w:ascii="Garamond" w:eastAsiaTheme="minorHAnsi" w:hAnsi="Garamond" w:cs="Arial"/>
          <w:b/>
          <w:color w:val="auto"/>
          <w:lang w:eastAsia="en-US"/>
        </w:rPr>
        <w:t>OFFRE</w:t>
      </w:r>
    </w:p>
    <w:p w:rsidR="00530CE1" w:rsidRPr="00530CE1" w:rsidRDefault="00530CE1" w:rsidP="00530CE1">
      <w:pPr>
        <w:pStyle w:val="Default"/>
        <w:widowControl w:val="0"/>
        <w:spacing w:line="400" w:lineRule="exact"/>
        <w:jc w:val="both"/>
        <w:rPr>
          <w:rFonts w:ascii="Garamond" w:eastAsiaTheme="minorHAnsi" w:hAnsi="Garamond"/>
          <w:color w:val="auto"/>
          <w:lang w:eastAsia="en-US"/>
        </w:rPr>
      </w:pPr>
      <w:r w:rsidRPr="00530CE1">
        <w:rPr>
          <w:rFonts w:ascii="Garamond" w:eastAsiaTheme="minorHAnsi" w:hAnsi="Garamond"/>
          <w:color w:val="auto"/>
          <w:lang w:eastAsia="en-US"/>
        </w:rPr>
        <w:t>Il seguente canone unitario omnicomprensivo per i seguenti servizi: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487"/>
        <w:gridCol w:w="2977"/>
      </w:tblGrid>
      <w:tr w:rsidR="00530CE1" w:rsidRPr="00530CE1" w:rsidTr="006004D5">
        <w:tc>
          <w:tcPr>
            <w:tcW w:w="6487" w:type="dxa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center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Attività</w:t>
            </w:r>
          </w:p>
        </w:tc>
        <w:tc>
          <w:tcPr>
            <w:tcW w:w="2977" w:type="dxa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center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Canone bimestrale offerto</w:t>
            </w:r>
          </w:p>
        </w:tc>
      </w:tr>
      <w:tr w:rsidR="00530CE1" w:rsidRPr="000326A1" w:rsidTr="000326A1">
        <w:tc>
          <w:tcPr>
            <w:tcW w:w="6487" w:type="dxa"/>
            <w:shd w:val="clear" w:color="auto" w:fill="auto"/>
          </w:tcPr>
          <w:p w:rsidR="00530CE1" w:rsidRPr="000326A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0326A1">
              <w:rPr>
                <w:rFonts w:ascii="Garamond" w:eastAsiaTheme="minorHAnsi" w:hAnsi="Garamond"/>
                <w:color w:val="auto"/>
                <w:lang w:eastAsia="en-US"/>
              </w:rPr>
              <w:t>SIM voce</w:t>
            </w:r>
          </w:p>
        </w:tc>
        <w:tc>
          <w:tcPr>
            <w:tcW w:w="2977" w:type="dxa"/>
            <w:shd w:val="clear" w:color="auto" w:fill="auto"/>
          </w:tcPr>
          <w:p w:rsidR="00530CE1" w:rsidRPr="000326A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0326A1">
              <w:rPr>
                <w:rFonts w:ascii="Garamond" w:eastAsiaTheme="minorHAnsi" w:hAnsi="Garamond"/>
                <w:color w:val="auto"/>
                <w:lang w:eastAsia="en-US"/>
              </w:rPr>
              <w:t>€ ___,__ oltre iva</w:t>
            </w:r>
          </w:p>
        </w:tc>
      </w:tr>
      <w:tr w:rsidR="00530CE1" w:rsidRPr="00530CE1" w:rsidTr="000326A1">
        <w:tc>
          <w:tcPr>
            <w:tcW w:w="6487" w:type="dxa"/>
            <w:shd w:val="clear" w:color="auto" w:fill="auto"/>
          </w:tcPr>
          <w:p w:rsidR="00530CE1" w:rsidRPr="000326A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0326A1">
              <w:rPr>
                <w:rFonts w:ascii="Garamond" w:eastAsiaTheme="minorHAnsi" w:hAnsi="Garamond"/>
                <w:color w:val="auto"/>
                <w:lang w:eastAsia="en-US"/>
              </w:rPr>
              <w:t>SIM Dati</w:t>
            </w:r>
          </w:p>
        </w:tc>
        <w:tc>
          <w:tcPr>
            <w:tcW w:w="2977" w:type="dxa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0326A1">
              <w:rPr>
                <w:rFonts w:ascii="Garamond" w:eastAsiaTheme="minorHAnsi" w:hAnsi="Garamond"/>
                <w:color w:val="auto"/>
                <w:lang w:eastAsia="en-US"/>
              </w:rPr>
              <w:t>€ ___,__ oltre iva</w:t>
            </w:r>
          </w:p>
        </w:tc>
      </w:tr>
    </w:tbl>
    <w:p w:rsidR="00530CE1" w:rsidRPr="00530CE1" w:rsidRDefault="00530CE1" w:rsidP="00530CE1">
      <w:pPr>
        <w:pStyle w:val="Default"/>
        <w:widowControl w:val="0"/>
        <w:spacing w:line="480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530CE1">
        <w:rPr>
          <w:rFonts w:ascii="Garamond" w:eastAsiaTheme="minorHAnsi" w:hAnsi="Garamond"/>
          <w:color w:val="auto"/>
          <w:lang w:eastAsia="en-US"/>
        </w:rPr>
        <w:t xml:space="preserve"> </w:t>
      </w:r>
    </w:p>
    <w:p w:rsidR="00530CE1" w:rsidRPr="00530CE1" w:rsidRDefault="00530CE1" w:rsidP="00530CE1">
      <w:pPr>
        <w:pStyle w:val="Default"/>
        <w:widowControl w:val="0"/>
        <w:spacing w:line="480" w:lineRule="auto"/>
        <w:jc w:val="both"/>
        <w:rPr>
          <w:rFonts w:ascii="Garamond" w:eastAsiaTheme="minorHAnsi" w:hAnsi="Garamond"/>
          <w:color w:val="auto"/>
          <w:lang w:eastAsia="en-US"/>
        </w:rPr>
      </w:pPr>
      <w:r w:rsidRPr="00530CE1">
        <w:rPr>
          <w:rFonts w:ascii="Garamond" w:eastAsiaTheme="minorHAnsi" w:hAnsi="Garamond"/>
          <w:color w:val="auto"/>
          <w:lang w:eastAsia="en-US"/>
        </w:rPr>
        <w:t>e che i predetti canoni unitari, applicati alle schede SIM attive al momento della presentazione del pr</w:t>
      </w:r>
      <w:r w:rsidRPr="00530CE1">
        <w:rPr>
          <w:rFonts w:ascii="Garamond" w:eastAsiaTheme="minorHAnsi" w:hAnsi="Garamond"/>
          <w:color w:val="auto"/>
          <w:lang w:eastAsia="en-US"/>
        </w:rPr>
        <w:t>e</w:t>
      </w:r>
      <w:r w:rsidRPr="00530CE1">
        <w:rPr>
          <w:rFonts w:ascii="Garamond" w:eastAsiaTheme="minorHAnsi" w:hAnsi="Garamond"/>
          <w:color w:val="auto"/>
          <w:lang w:eastAsia="en-US"/>
        </w:rPr>
        <w:t>sente preventivo, determinano un canone bimestrale complessivo presunto pari 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6"/>
        <w:gridCol w:w="857"/>
        <w:gridCol w:w="2551"/>
        <w:gridCol w:w="5210"/>
      </w:tblGrid>
      <w:tr w:rsidR="00530CE1" w:rsidRPr="00530CE1" w:rsidTr="006004D5">
        <w:tc>
          <w:tcPr>
            <w:tcW w:w="1236" w:type="dxa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center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Tipologia</w:t>
            </w:r>
          </w:p>
        </w:tc>
        <w:tc>
          <w:tcPr>
            <w:tcW w:w="857" w:type="dxa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center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 xml:space="preserve">q.tà </w:t>
            </w: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lastRenderedPageBreak/>
              <w:t>SIM attive</w:t>
            </w:r>
          </w:p>
        </w:tc>
        <w:tc>
          <w:tcPr>
            <w:tcW w:w="2551" w:type="dxa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center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lastRenderedPageBreak/>
              <w:t>Canone unitario bim</w:t>
            </w: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e</w:t>
            </w: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lastRenderedPageBreak/>
              <w:t>strale offerto</w:t>
            </w:r>
          </w:p>
        </w:tc>
        <w:tc>
          <w:tcPr>
            <w:tcW w:w="5210" w:type="dxa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center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lastRenderedPageBreak/>
              <w:t>Canone complessivo bimestrale offerto</w:t>
            </w:r>
          </w:p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center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lastRenderedPageBreak/>
              <w:t>(quantità SIM attive x Canone unitario bimestrale o</w:t>
            </w: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f</w:t>
            </w: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ferto)</w:t>
            </w:r>
          </w:p>
        </w:tc>
      </w:tr>
      <w:tr w:rsidR="00530CE1" w:rsidRPr="00530CE1" w:rsidTr="000326A1">
        <w:tc>
          <w:tcPr>
            <w:tcW w:w="1236" w:type="dxa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lastRenderedPageBreak/>
              <w:t>SIM voce</w:t>
            </w:r>
          </w:p>
        </w:tc>
        <w:tc>
          <w:tcPr>
            <w:tcW w:w="857" w:type="dxa"/>
            <w:shd w:val="clear" w:color="auto" w:fill="auto"/>
          </w:tcPr>
          <w:p w:rsidR="00530CE1" w:rsidRPr="00530CE1" w:rsidRDefault="00396EF8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>
              <w:rPr>
                <w:rFonts w:ascii="Garamond" w:eastAsiaTheme="minorHAnsi" w:hAnsi="Garamond"/>
                <w:color w:val="auto"/>
                <w:lang w:eastAsia="en-US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€ ___,__ oltre iva</w:t>
            </w:r>
          </w:p>
        </w:tc>
        <w:tc>
          <w:tcPr>
            <w:tcW w:w="5210" w:type="dxa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</w:p>
        </w:tc>
      </w:tr>
      <w:tr w:rsidR="00530CE1" w:rsidRPr="00530CE1" w:rsidTr="000326A1">
        <w:tc>
          <w:tcPr>
            <w:tcW w:w="1236" w:type="dxa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SIM Dati</w:t>
            </w:r>
          </w:p>
        </w:tc>
        <w:tc>
          <w:tcPr>
            <w:tcW w:w="857" w:type="dxa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23</w:t>
            </w:r>
          </w:p>
        </w:tc>
        <w:tc>
          <w:tcPr>
            <w:tcW w:w="2551" w:type="dxa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color w:val="auto"/>
                <w:lang w:eastAsia="en-US"/>
              </w:rPr>
              <w:t>€ ___,__ oltre iva</w:t>
            </w:r>
          </w:p>
        </w:tc>
        <w:tc>
          <w:tcPr>
            <w:tcW w:w="5210" w:type="dxa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</w:p>
        </w:tc>
      </w:tr>
      <w:tr w:rsidR="00530CE1" w:rsidRPr="00530CE1" w:rsidTr="000326A1">
        <w:tc>
          <w:tcPr>
            <w:tcW w:w="4644" w:type="dxa"/>
            <w:gridSpan w:val="3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276" w:lineRule="auto"/>
              <w:jc w:val="both"/>
              <w:rPr>
                <w:rFonts w:ascii="Garamond" w:eastAsiaTheme="minorHAnsi" w:hAnsi="Garamond"/>
                <w:b/>
                <w:color w:val="auto"/>
                <w:lang w:eastAsia="en-US"/>
              </w:rPr>
            </w:pPr>
            <w:r w:rsidRPr="00530CE1">
              <w:rPr>
                <w:rFonts w:ascii="Garamond" w:eastAsiaTheme="minorHAnsi" w:hAnsi="Garamond"/>
                <w:b/>
                <w:color w:val="auto"/>
                <w:lang w:eastAsia="en-US"/>
              </w:rPr>
              <w:t>Totale canone complessivo bimestrale (c</w:t>
            </w:r>
            <w:r w:rsidRPr="00530CE1">
              <w:rPr>
                <w:rFonts w:ascii="Garamond" w:eastAsiaTheme="minorHAnsi" w:hAnsi="Garamond"/>
                <w:b/>
                <w:color w:val="auto"/>
                <w:lang w:eastAsia="en-US"/>
              </w:rPr>
              <w:t>a</w:t>
            </w:r>
            <w:r w:rsidRPr="00530CE1">
              <w:rPr>
                <w:rFonts w:ascii="Garamond" w:eastAsiaTheme="minorHAnsi" w:hAnsi="Garamond"/>
                <w:b/>
                <w:color w:val="auto"/>
                <w:lang w:eastAsia="en-US"/>
              </w:rPr>
              <w:t>none complessivo bimestrale offerto SIM Voci + canone complessivo bimestrale o</w:t>
            </w:r>
            <w:r w:rsidRPr="00530CE1">
              <w:rPr>
                <w:rFonts w:ascii="Garamond" w:eastAsiaTheme="minorHAnsi" w:hAnsi="Garamond"/>
                <w:b/>
                <w:color w:val="auto"/>
                <w:lang w:eastAsia="en-US"/>
              </w:rPr>
              <w:t>f</w:t>
            </w:r>
            <w:r w:rsidRPr="00530CE1">
              <w:rPr>
                <w:rFonts w:ascii="Garamond" w:eastAsiaTheme="minorHAnsi" w:hAnsi="Garamond"/>
                <w:b/>
                <w:color w:val="auto"/>
                <w:lang w:eastAsia="en-US"/>
              </w:rPr>
              <w:t>ferto SIM Dati</w:t>
            </w:r>
          </w:p>
        </w:tc>
        <w:tc>
          <w:tcPr>
            <w:tcW w:w="5210" w:type="dxa"/>
            <w:shd w:val="clear" w:color="auto" w:fill="auto"/>
          </w:tcPr>
          <w:p w:rsidR="00530CE1" w:rsidRPr="00530CE1" w:rsidRDefault="00530CE1" w:rsidP="006004D5">
            <w:pPr>
              <w:pStyle w:val="Default"/>
              <w:widowControl w:val="0"/>
              <w:spacing w:line="480" w:lineRule="auto"/>
              <w:jc w:val="both"/>
              <w:rPr>
                <w:rFonts w:ascii="Garamond" w:eastAsiaTheme="minorHAnsi" w:hAnsi="Garamond"/>
                <w:color w:val="auto"/>
                <w:lang w:eastAsia="en-US"/>
              </w:rPr>
            </w:pPr>
          </w:p>
        </w:tc>
      </w:tr>
    </w:tbl>
    <w:p w:rsidR="004B74AD" w:rsidRPr="00530CE1" w:rsidRDefault="004B74AD" w:rsidP="002843E8">
      <w:pPr>
        <w:pStyle w:val="Default"/>
        <w:spacing w:line="276" w:lineRule="auto"/>
        <w:rPr>
          <w:rFonts w:ascii="Garamond" w:eastAsiaTheme="minorHAnsi" w:hAnsi="Garamond" w:cs="Arial"/>
          <w:b/>
          <w:color w:val="auto"/>
          <w:lang w:eastAsia="en-US"/>
        </w:rPr>
      </w:pPr>
    </w:p>
    <w:p w:rsidR="008069F0" w:rsidRPr="00530CE1" w:rsidRDefault="00993DE6" w:rsidP="002843E8">
      <w:pPr>
        <w:jc w:val="both"/>
        <w:rPr>
          <w:rFonts w:ascii="Garamond" w:hAnsi="Garamond" w:cs="Arial"/>
          <w:sz w:val="24"/>
          <w:szCs w:val="24"/>
        </w:rPr>
      </w:pPr>
      <w:r w:rsidRPr="00530CE1">
        <w:rPr>
          <w:rFonts w:ascii="Garamond" w:hAnsi="Garamond" w:cs="Arial"/>
          <w:sz w:val="24"/>
          <w:szCs w:val="24"/>
        </w:rPr>
        <w:t>I</w:t>
      </w:r>
      <w:r w:rsidR="00E860B6" w:rsidRPr="00530CE1">
        <w:rPr>
          <w:rFonts w:ascii="Garamond" w:hAnsi="Garamond" w:cs="Arial"/>
          <w:sz w:val="24"/>
          <w:szCs w:val="24"/>
        </w:rPr>
        <w:t>l</w:t>
      </w:r>
      <w:r w:rsidRPr="00530CE1">
        <w:rPr>
          <w:rFonts w:ascii="Garamond" w:hAnsi="Garamond" w:cs="Arial"/>
          <w:sz w:val="24"/>
          <w:szCs w:val="24"/>
        </w:rPr>
        <w:t xml:space="preserve"> sottoscritto</w:t>
      </w:r>
      <w:r w:rsidR="00E860B6" w:rsidRPr="00530CE1">
        <w:rPr>
          <w:rFonts w:ascii="Garamond" w:hAnsi="Garamond" w:cs="Arial"/>
          <w:sz w:val="24"/>
          <w:szCs w:val="24"/>
        </w:rPr>
        <w:t xml:space="preserve"> altresì</w:t>
      </w:r>
      <w:r w:rsidRPr="00530CE1">
        <w:rPr>
          <w:rFonts w:ascii="Garamond" w:hAnsi="Garamond" w:cs="Arial"/>
          <w:sz w:val="24"/>
          <w:szCs w:val="24"/>
        </w:rPr>
        <w:t xml:space="preserve"> </w:t>
      </w:r>
    </w:p>
    <w:p w:rsidR="00247613" w:rsidRPr="00530CE1" w:rsidRDefault="00247613" w:rsidP="002843E8">
      <w:pPr>
        <w:jc w:val="center"/>
        <w:rPr>
          <w:rFonts w:ascii="Garamond" w:hAnsi="Garamond" w:cs="Arial"/>
          <w:b/>
          <w:sz w:val="24"/>
          <w:szCs w:val="24"/>
        </w:rPr>
      </w:pPr>
      <w:r w:rsidRPr="00530CE1">
        <w:rPr>
          <w:rFonts w:ascii="Garamond" w:hAnsi="Garamond" w:cs="Arial"/>
          <w:b/>
          <w:sz w:val="24"/>
          <w:szCs w:val="24"/>
        </w:rPr>
        <w:t>Dichiara</w:t>
      </w:r>
    </w:p>
    <w:p w:rsidR="00E860B6" w:rsidRPr="00530CE1" w:rsidRDefault="00993DE6" w:rsidP="002843E8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Garamond" w:eastAsiaTheme="minorHAnsi" w:hAnsi="Garamond" w:cs="Arial"/>
          <w:color w:val="auto"/>
          <w:lang w:eastAsia="en-US"/>
        </w:rPr>
      </w:pPr>
      <w:r w:rsidRPr="00530CE1">
        <w:rPr>
          <w:rFonts w:ascii="Garamond" w:hAnsi="Garamond" w:cs="Arial"/>
        </w:rPr>
        <w:t>che la presente offerta ha una validità di 180 giorni a decorrere dalla data di scadenza per la prese</w:t>
      </w:r>
      <w:r w:rsidRPr="00530CE1">
        <w:rPr>
          <w:rFonts w:ascii="Garamond" w:hAnsi="Garamond" w:cs="Arial"/>
        </w:rPr>
        <w:t>n</w:t>
      </w:r>
      <w:r w:rsidRPr="00530CE1">
        <w:rPr>
          <w:rFonts w:ascii="Garamond" w:hAnsi="Garamond" w:cs="Arial"/>
        </w:rPr>
        <w:t>tazione della stessa;</w:t>
      </w:r>
    </w:p>
    <w:p w:rsidR="00957EB8" w:rsidRPr="00530CE1" w:rsidRDefault="00993DE6" w:rsidP="002843E8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Garamond" w:hAnsi="Garamond" w:cs="Arial"/>
        </w:rPr>
      </w:pPr>
      <w:r w:rsidRPr="00530CE1">
        <w:rPr>
          <w:rFonts w:ascii="Garamond" w:hAnsi="Garamond" w:cs="Arial"/>
        </w:rPr>
        <w:t xml:space="preserve">di </w:t>
      </w:r>
      <w:r w:rsidR="00957EB8" w:rsidRPr="00530CE1">
        <w:rPr>
          <w:rFonts w:ascii="Garamond" w:hAnsi="Garamond" w:cs="Arial"/>
        </w:rPr>
        <w:t xml:space="preserve">accettare che il contratto </w:t>
      </w:r>
      <w:proofErr w:type="spellStart"/>
      <w:r w:rsidR="00957EB8" w:rsidRPr="00530CE1">
        <w:rPr>
          <w:rFonts w:ascii="Garamond" w:hAnsi="Garamond" w:cs="Arial"/>
        </w:rPr>
        <w:t>prevederà</w:t>
      </w:r>
      <w:proofErr w:type="spellEnd"/>
      <w:r w:rsidR="00957EB8" w:rsidRPr="00530CE1">
        <w:rPr>
          <w:rFonts w:ascii="Garamond" w:hAnsi="Garamond" w:cs="Arial"/>
        </w:rPr>
        <w:t xml:space="preserve">: </w:t>
      </w:r>
    </w:p>
    <w:p w:rsidR="00957EB8" w:rsidRDefault="00957EB8" w:rsidP="00661FF2">
      <w:pPr>
        <w:pStyle w:val="Paragrafoelenco"/>
        <w:widowControl w:val="0"/>
        <w:numPr>
          <w:ilvl w:val="0"/>
          <w:numId w:val="12"/>
        </w:numPr>
        <w:shd w:val="clear" w:color="auto" w:fill="FFFFFF"/>
        <w:spacing w:after="60"/>
        <w:ind w:right="27"/>
        <w:jc w:val="both"/>
        <w:rPr>
          <w:rFonts w:ascii="Garamond" w:eastAsia="Calibri" w:hAnsi="Garamond" w:cs="Arial"/>
          <w:sz w:val="24"/>
          <w:szCs w:val="24"/>
        </w:rPr>
      </w:pPr>
      <w:r w:rsidRPr="00530CE1">
        <w:rPr>
          <w:rFonts w:ascii="Garamond" w:eastAsia="Calibri" w:hAnsi="Garamond" w:cs="Arial"/>
          <w:sz w:val="24"/>
          <w:szCs w:val="24"/>
        </w:rPr>
        <w:t>espressa clausola di prevalenza delle condizioni di aggiudicazione rispetto alle clausole unilaterali predisposte dagli operatori affidatari durante tutta la durata di validità del presente affidamento;</w:t>
      </w:r>
    </w:p>
    <w:p w:rsidR="00957EB8" w:rsidRDefault="00566254" w:rsidP="00661FF2">
      <w:pPr>
        <w:pStyle w:val="Paragrafoelenco"/>
        <w:widowControl w:val="0"/>
        <w:numPr>
          <w:ilvl w:val="0"/>
          <w:numId w:val="12"/>
        </w:numPr>
        <w:shd w:val="clear" w:color="auto" w:fill="FFFFFF"/>
        <w:spacing w:after="60"/>
        <w:ind w:right="27"/>
        <w:jc w:val="both"/>
        <w:rPr>
          <w:rFonts w:ascii="Garamond" w:eastAsia="Calibri" w:hAnsi="Garamond" w:cs="Arial"/>
          <w:sz w:val="24"/>
          <w:szCs w:val="24"/>
        </w:rPr>
      </w:pPr>
      <w:r w:rsidRPr="00661FF2">
        <w:rPr>
          <w:rFonts w:ascii="Garamond" w:eastAsia="Calibri" w:hAnsi="Garamond" w:cs="Arial"/>
          <w:sz w:val="24"/>
          <w:szCs w:val="24"/>
        </w:rPr>
        <w:t xml:space="preserve">con riferimento alle condizioni di costo proposte, che </w:t>
      </w:r>
      <w:r w:rsidR="00957EB8" w:rsidRPr="00661FF2">
        <w:rPr>
          <w:rFonts w:ascii="Garamond" w:eastAsia="Calibri" w:hAnsi="Garamond" w:cs="Arial"/>
          <w:sz w:val="24"/>
          <w:szCs w:val="24"/>
        </w:rPr>
        <w:t xml:space="preserve">l’operatore economico </w:t>
      </w:r>
      <w:r w:rsidRPr="00661FF2">
        <w:rPr>
          <w:rFonts w:ascii="Garamond" w:eastAsia="Calibri" w:hAnsi="Garamond" w:cs="Arial"/>
          <w:sz w:val="24"/>
          <w:szCs w:val="24"/>
        </w:rPr>
        <w:t>si obbliga a</w:t>
      </w:r>
      <w:r w:rsidR="00957EB8" w:rsidRPr="00661FF2">
        <w:rPr>
          <w:rFonts w:ascii="Garamond" w:eastAsia="Calibri" w:hAnsi="Garamond" w:cs="Arial"/>
          <w:sz w:val="24"/>
          <w:szCs w:val="24"/>
        </w:rPr>
        <w:t xml:space="preserve"> mantener</w:t>
      </w:r>
      <w:r w:rsidRPr="00661FF2">
        <w:rPr>
          <w:rFonts w:ascii="Garamond" w:eastAsia="Calibri" w:hAnsi="Garamond" w:cs="Arial"/>
          <w:sz w:val="24"/>
          <w:szCs w:val="24"/>
        </w:rPr>
        <w:t>l</w:t>
      </w:r>
      <w:r w:rsidR="00957EB8" w:rsidRPr="00661FF2">
        <w:rPr>
          <w:rFonts w:ascii="Garamond" w:eastAsia="Calibri" w:hAnsi="Garamond" w:cs="Arial"/>
          <w:sz w:val="24"/>
          <w:szCs w:val="24"/>
        </w:rPr>
        <w:t>e invariat</w:t>
      </w:r>
      <w:r w:rsidRPr="00661FF2">
        <w:rPr>
          <w:rFonts w:ascii="Garamond" w:eastAsia="Calibri" w:hAnsi="Garamond" w:cs="Arial"/>
          <w:sz w:val="24"/>
          <w:szCs w:val="24"/>
        </w:rPr>
        <w:t>e</w:t>
      </w:r>
      <w:r w:rsidR="00957EB8" w:rsidRPr="00661FF2">
        <w:rPr>
          <w:rFonts w:ascii="Garamond" w:eastAsia="Calibri" w:hAnsi="Garamond" w:cs="Arial"/>
          <w:sz w:val="24"/>
          <w:szCs w:val="24"/>
        </w:rPr>
        <w:t>, per tutta la durata del</w:t>
      </w:r>
      <w:r w:rsidRPr="00661FF2">
        <w:rPr>
          <w:rFonts w:ascii="Garamond" w:eastAsia="Calibri" w:hAnsi="Garamond" w:cs="Arial"/>
          <w:sz w:val="24"/>
          <w:szCs w:val="24"/>
        </w:rPr>
        <w:t>l’affidamento</w:t>
      </w:r>
      <w:r w:rsidR="00957EB8" w:rsidRPr="00661FF2">
        <w:rPr>
          <w:rFonts w:ascii="Garamond" w:eastAsia="Calibri" w:hAnsi="Garamond" w:cs="Arial"/>
          <w:sz w:val="24"/>
          <w:szCs w:val="24"/>
        </w:rPr>
        <w:t>;</w:t>
      </w:r>
    </w:p>
    <w:p w:rsidR="00661FF2" w:rsidRPr="00661FF2" w:rsidRDefault="00661FF2" w:rsidP="00661FF2">
      <w:pPr>
        <w:pStyle w:val="Paragrafoelenco"/>
        <w:widowControl w:val="0"/>
        <w:shd w:val="clear" w:color="auto" w:fill="FFFFFF"/>
        <w:spacing w:after="60"/>
        <w:ind w:left="0" w:right="27"/>
        <w:jc w:val="center"/>
        <w:rPr>
          <w:rFonts w:ascii="Garamond" w:eastAsia="Calibri" w:hAnsi="Garamond" w:cs="Arial"/>
          <w:b/>
          <w:sz w:val="24"/>
          <w:szCs w:val="24"/>
        </w:rPr>
      </w:pPr>
      <w:r w:rsidRPr="00661FF2">
        <w:rPr>
          <w:rFonts w:ascii="Garamond" w:eastAsia="Calibri" w:hAnsi="Garamond" w:cs="Arial"/>
          <w:b/>
          <w:sz w:val="24"/>
          <w:szCs w:val="24"/>
        </w:rPr>
        <w:t>Inoltre dichiara</w:t>
      </w:r>
    </w:p>
    <w:p w:rsidR="008069F0" w:rsidRPr="00530CE1" w:rsidRDefault="00993DE6" w:rsidP="002843E8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Garamond" w:hAnsi="Garamond" w:cs="Arial"/>
        </w:rPr>
      </w:pPr>
      <w:r w:rsidRPr="00530CE1">
        <w:rPr>
          <w:rFonts w:ascii="Garamond" w:hAnsi="Garamond" w:cs="Arial"/>
        </w:rPr>
        <w:t>di ritenere l’offerta presentata remunerativa;</w:t>
      </w:r>
    </w:p>
    <w:p w:rsidR="00EF34A8" w:rsidRPr="00530CE1" w:rsidRDefault="00993DE6" w:rsidP="00F5406E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Garamond" w:hAnsi="Garamond" w:cs="Arial"/>
        </w:rPr>
      </w:pPr>
      <w:r w:rsidRPr="00530CE1">
        <w:rPr>
          <w:rFonts w:ascii="Garamond" w:hAnsi="Garamond" w:cs="Arial"/>
        </w:rPr>
        <w:t>di essere consapevole che la presente offerta non è in alcun modo vincolante per la stazione appa</w:t>
      </w:r>
      <w:r w:rsidRPr="00530CE1">
        <w:rPr>
          <w:rFonts w:ascii="Garamond" w:hAnsi="Garamond" w:cs="Arial"/>
        </w:rPr>
        <w:t>l</w:t>
      </w:r>
      <w:r w:rsidRPr="00530CE1">
        <w:rPr>
          <w:rFonts w:ascii="Garamond" w:hAnsi="Garamond" w:cs="Arial"/>
        </w:rPr>
        <w:t>tante ma è da intendersi come mero procedimento preselettivo, finalizzato alla raccolta di offerte, non comportante diritti di prelazione o preferenz</w:t>
      </w:r>
      <w:r w:rsidR="00E30614" w:rsidRPr="00530CE1">
        <w:rPr>
          <w:rFonts w:ascii="Garamond" w:hAnsi="Garamond" w:cs="Arial"/>
        </w:rPr>
        <w:t>a, né impegni o vincoli per FBA</w:t>
      </w:r>
      <w:r w:rsidR="00EF34A8" w:rsidRPr="00530CE1">
        <w:rPr>
          <w:rFonts w:ascii="Garamond" w:hAnsi="Garamond" w:cs="Arial"/>
        </w:rPr>
        <w:t>;</w:t>
      </w:r>
    </w:p>
    <w:p w:rsidR="00661FF2" w:rsidRPr="00661FF2" w:rsidRDefault="00EF34A8" w:rsidP="00F5406E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Garamond" w:hAnsi="Garamond" w:cs="Arial"/>
        </w:rPr>
      </w:pPr>
      <w:r w:rsidRPr="00530CE1">
        <w:rPr>
          <w:rFonts w:ascii="Garamond" w:hAnsi="Garamond" w:cs="Arial"/>
        </w:rPr>
        <w:t>di essere consapevole che l</w:t>
      </w:r>
      <w:r w:rsidRPr="00530CE1">
        <w:rPr>
          <w:rFonts w:ascii="Garamond" w:eastAsia="Calibri" w:hAnsi="Garamond" w:cs="Arial"/>
        </w:rPr>
        <w:t xml:space="preserve">’importo stimato del servizio non dà diritto al conseguimento dell’intero importo offerto e che l’importo effettivo che verrà corrisposto all’affidatario è quindi variabile (con il limite dell’importo contrattuale) in base alle quantità </w:t>
      </w:r>
      <w:r w:rsidR="00661FF2">
        <w:rPr>
          <w:rFonts w:ascii="Garamond" w:eastAsia="Calibri" w:hAnsi="Garamond" w:cs="Arial"/>
        </w:rPr>
        <w:t>effettivamente ordinate dal Fondo</w:t>
      </w:r>
    </w:p>
    <w:p w:rsidR="00661FF2" w:rsidRPr="00661FF2" w:rsidRDefault="00661FF2" w:rsidP="00661FF2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Garamond" w:hAnsi="Garamond" w:cs="Arial"/>
        </w:rPr>
      </w:pPr>
      <w:r w:rsidRPr="00661FF2">
        <w:rPr>
          <w:rFonts w:ascii="Garamond" w:hAnsi="Garamond"/>
        </w:rPr>
        <w:t>che il canone unitario offerte comprende tutti i servizi/forniture, nessuno escluso, previsti dal Cap</w:t>
      </w:r>
      <w:r w:rsidRPr="00661FF2">
        <w:rPr>
          <w:rFonts w:ascii="Garamond" w:hAnsi="Garamond"/>
        </w:rPr>
        <w:t>i</w:t>
      </w:r>
      <w:r w:rsidRPr="00661FF2">
        <w:rPr>
          <w:rFonts w:ascii="Garamond" w:hAnsi="Garamond"/>
        </w:rPr>
        <w:t>tolato Speciale d’appalto;</w:t>
      </w:r>
    </w:p>
    <w:p w:rsidR="00661FF2" w:rsidRPr="00661FF2" w:rsidRDefault="00661FF2" w:rsidP="00661FF2">
      <w:pPr>
        <w:pStyle w:val="Default"/>
        <w:numPr>
          <w:ilvl w:val="0"/>
          <w:numId w:val="7"/>
        </w:numPr>
        <w:spacing w:line="276" w:lineRule="auto"/>
        <w:ind w:left="284" w:hanging="284"/>
        <w:jc w:val="both"/>
        <w:rPr>
          <w:rFonts w:ascii="Garamond" w:hAnsi="Garamond" w:cs="Arial"/>
        </w:rPr>
      </w:pPr>
      <w:r w:rsidRPr="00661FF2">
        <w:rPr>
          <w:rFonts w:ascii="Garamond" w:hAnsi="Garamond"/>
        </w:rPr>
        <w:t>di essere consapevole che in caso di affidamento del servizio, ai sensi dell’art. 103 D. Lgs. 50/2016, l’operatore economico dovrà produrre idonea polizza a garanzia della corretta esecuzione del serv</w:t>
      </w:r>
      <w:r w:rsidRPr="00661FF2">
        <w:rPr>
          <w:rFonts w:ascii="Garamond" w:hAnsi="Garamond"/>
        </w:rPr>
        <w:t>i</w:t>
      </w:r>
      <w:r w:rsidRPr="00661FF2">
        <w:rPr>
          <w:rFonts w:ascii="Garamond" w:hAnsi="Garamond"/>
        </w:rPr>
        <w:t>zio o, in alternativa, dovrà proporre un miglioramento del prezzo di aggiudicazione.</w:t>
      </w:r>
    </w:p>
    <w:p w:rsidR="00957EB8" w:rsidRPr="00530CE1" w:rsidRDefault="00957EB8" w:rsidP="002843E8">
      <w:pPr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</w:p>
    <w:p w:rsidR="00F30E2E" w:rsidRPr="00530CE1" w:rsidRDefault="00993DE6" w:rsidP="002843E8">
      <w:pPr>
        <w:autoSpaceDE w:val="0"/>
        <w:autoSpaceDN w:val="0"/>
        <w:adjustRightInd w:val="0"/>
        <w:spacing w:after="0"/>
        <w:rPr>
          <w:rFonts w:ascii="Garamond" w:hAnsi="Garamond" w:cs="Arial"/>
          <w:sz w:val="24"/>
          <w:szCs w:val="24"/>
        </w:rPr>
      </w:pPr>
      <w:r w:rsidRPr="00530CE1">
        <w:rPr>
          <w:rFonts w:ascii="Garamond" w:hAnsi="Garamond" w:cs="Arial"/>
          <w:sz w:val="24"/>
          <w:szCs w:val="24"/>
        </w:rPr>
        <w:t>Luogo e data                                               Timbro dell’operatore economico e firma</w:t>
      </w:r>
      <w:r w:rsidRPr="00530CE1">
        <w:rPr>
          <w:rStyle w:val="Rimandonotaapidipagina"/>
          <w:rFonts w:ascii="Garamond" w:hAnsi="Garamond" w:cs="Arial"/>
          <w:sz w:val="24"/>
          <w:szCs w:val="24"/>
        </w:rPr>
        <w:footnoteReference w:id="1"/>
      </w:r>
    </w:p>
    <w:p w:rsidR="00F30E2E" w:rsidRPr="00530CE1" w:rsidRDefault="00993DE6" w:rsidP="002843E8">
      <w:pPr>
        <w:jc w:val="both"/>
        <w:rPr>
          <w:rFonts w:ascii="Garamond" w:hAnsi="Garamond" w:cs="Arial"/>
          <w:sz w:val="24"/>
          <w:szCs w:val="24"/>
        </w:rPr>
      </w:pPr>
      <w:r w:rsidRPr="00530CE1">
        <w:rPr>
          <w:rFonts w:ascii="Garamond" w:hAnsi="Garamond" w:cs="Arial"/>
          <w:sz w:val="24"/>
          <w:szCs w:val="24"/>
        </w:rPr>
        <w:t>__________________                          ________________________________________</w:t>
      </w:r>
    </w:p>
    <w:sectPr w:rsidR="00F30E2E" w:rsidRPr="00530CE1" w:rsidSect="002974D4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0B4" w:rsidRDefault="00F250B4" w:rsidP="00F30E2E">
      <w:pPr>
        <w:spacing w:after="0" w:line="240" w:lineRule="auto"/>
      </w:pPr>
      <w:r>
        <w:separator/>
      </w:r>
    </w:p>
  </w:endnote>
  <w:endnote w:type="continuationSeparator" w:id="0">
    <w:p w:rsidR="00F250B4" w:rsidRDefault="00F250B4" w:rsidP="00F30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35675"/>
      <w:docPartObj>
        <w:docPartGallery w:val="Page Numbers (Bottom of Page)"/>
        <w:docPartUnique/>
      </w:docPartObj>
    </w:sdtPr>
    <w:sdtEndPr/>
    <w:sdtContent>
      <w:p w:rsidR="004B74AD" w:rsidRDefault="0069323D">
        <w:pPr>
          <w:pStyle w:val="Pidipagina"/>
          <w:jc w:val="right"/>
        </w:pPr>
        <w:r w:rsidRPr="00247613">
          <w:rPr>
            <w:rFonts w:ascii="Book Antiqua" w:hAnsi="Book Antiqua"/>
          </w:rPr>
          <w:fldChar w:fldCharType="begin"/>
        </w:r>
        <w:r w:rsidR="004B74AD" w:rsidRPr="00247613">
          <w:rPr>
            <w:rFonts w:ascii="Book Antiqua" w:hAnsi="Book Antiqua"/>
          </w:rPr>
          <w:instrText xml:space="preserve"> PAGE   \* MERGEFORMAT </w:instrText>
        </w:r>
        <w:r w:rsidRPr="00247613">
          <w:rPr>
            <w:rFonts w:ascii="Book Antiqua" w:hAnsi="Book Antiqua"/>
          </w:rPr>
          <w:fldChar w:fldCharType="separate"/>
        </w:r>
        <w:r w:rsidR="00680E58">
          <w:rPr>
            <w:rFonts w:ascii="Book Antiqua" w:hAnsi="Book Antiqua"/>
            <w:noProof/>
          </w:rPr>
          <w:t>1</w:t>
        </w:r>
        <w:r w:rsidRPr="00247613">
          <w:rPr>
            <w:rFonts w:ascii="Book Antiqua" w:hAnsi="Book Antiqua"/>
            <w:noProof/>
          </w:rPr>
          <w:fldChar w:fldCharType="end"/>
        </w:r>
      </w:p>
    </w:sdtContent>
  </w:sdt>
  <w:p w:rsidR="004B74AD" w:rsidRDefault="004B74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0B4" w:rsidRDefault="00F250B4" w:rsidP="00F30E2E">
      <w:pPr>
        <w:spacing w:after="0" w:line="240" w:lineRule="auto"/>
      </w:pPr>
      <w:r>
        <w:separator/>
      </w:r>
    </w:p>
  </w:footnote>
  <w:footnote w:type="continuationSeparator" w:id="0">
    <w:p w:rsidR="00F250B4" w:rsidRDefault="00F250B4" w:rsidP="00F30E2E">
      <w:pPr>
        <w:spacing w:after="0" w:line="240" w:lineRule="auto"/>
      </w:pPr>
      <w:r>
        <w:continuationSeparator/>
      </w:r>
    </w:p>
  </w:footnote>
  <w:footnote w:id="1">
    <w:p w:rsidR="004B74AD" w:rsidRPr="004B74AD" w:rsidRDefault="004B74AD" w:rsidP="00F30E2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b/>
        </w:rPr>
      </w:pPr>
      <w:r w:rsidRPr="004B74AD">
        <w:rPr>
          <w:rStyle w:val="Rimandonotaapidipagina"/>
          <w:b/>
        </w:rPr>
        <w:footnoteRef/>
      </w:r>
      <w:r w:rsidRPr="004B74AD">
        <w:rPr>
          <w:b/>
        </w:rPr>
        <w:t xml:space="preserve"> </w:t>
      </w:r>
      <w:r w:rsidRPr="004B74AD">
        <w:rPr>
          <w:rFonts w:ascii="Book Antiqua" w:hAnsi="Book Antiqua" w:cs="Verdana"/>
          <w:b/>
          <w:sz w:val="16"/>
          <w:szCs w:val="16"/>
        </w:rPr>
        <w:t>NB: il presente preventivo deve essere presentato, a pena di esclusione, per ogni lotto a cui si partecipa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6D8"/>
    <w:multiLevelType w:val="hybridMultilevel"/>
    <w:tmpl w:val="3ECC95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605BAF"/>
    <w:multiLevelType w:val="hybridMultilevel"/>
    <w:tmpl w:val="57D28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266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9">
      <w:start w:val="1"/>
      <w:numFmt w:val="lowerLetter"/>
      <w:lvlText w:val="%3."/>
      <w:lvlJc w:val="lef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564B6"/>
    <w:multiLevelType w:val="hybridMultilevel"/>
    <w:tmpl w:val="F306D236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027AF"/>
    <w:multiLevelType w:val="hybridMultilevel"/>
    <w:tmpl w:val="3C48170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80975"/>
    <w:multiLevelType w:val="hybridMultilevel"/>
    <w:tmpl w:val="1C84622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BA3BA2"/>
    <w:multiLevelType w:val="hybridMultilevel"/>
    <w:tmpl w:val="7EAAAF28"/>
    <w:lvl w:ilvl="0" w:tplc="6F266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D1F0E"/>
    <w:multiLevelType w:val="hybridMultilevel"/>
    <w:tmpl w:val="55A8A2DE"/>
    <w:lvl w:ilvl="0" w:tplc="6F2665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BA5D82"/>
    <w:multiLevelType w:val="hybridMultilevel"/>
    <w:tmpl w:val="35B25B1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B426F87"/>
    <w:multiLevelType w:val="hybridMultilevel"/>
    <w:tmpl w:val="D6B21928"/>
    <w:lvl w:ilvl="0" w:tplc="5218EC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72DCA"/>
    <w:multiLevelType w:val="hybridMultilevel"/>
    <w:tmpl w:val="CC2C4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0211A"/>
    <w:multiLevelType w:val="hybridMultilevel"/>
    <w:tmpl w:val="B6EE6CAE"/>
    <w:lvl w:ilvl="0" w:tplc="F8626508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B22"/>
    <w:rsid w:val="00010DC9"/>
    <w:rsid w:val="000326A1"/>
    <w:rsid w:val="000447C4"/>
    <w:rsid w:val="00063603"/>
    <w:rsid w:val="000751F8"/>
    <w:rsid w:val="000F0905"/>
    <w:rsid w:val="000F207A"/>
    <w:rsid w:val="000F5465"/>
    <w:rsid w:val="000F6A9D"/>
    <w:rsid w:val="001053FF"/>
    <w:rsid w:val="0011682E"/>
    <w:rsid w:val="001328C5"/>
    <w:rsid w:val="001339D2"/>
    <w:rsid w:val="001733A4"/>
    <w:rsid w:val="001A7EC2"/>
    <w:rsid w:val="001D0AB8"/>
    <w:rsid w:val="001D4214"/>
    <w:rsid w:val="001E6BDA"/>
    <w:rsid w:val="00202D95"/>
    <w:rsid w:val="00247613"/>
    <w:rsid w:val="00270886"/>
    <w:rsid w:val="002843E8"/>
    <w:rsid w:val="002960B2"/>
    <w:rsid w:val="002974D4"/>
    <w:rsid w:val="002B78A3"/>
    <w:rsid w:val="002C12E6"/>
    <w:rsid w:val="002E5785"/>
    <w:rsid w:val="00352279"/>
    <w:rsid w:val="00396EF8"/>
    <w:rsid w:val="003C395C"/>
    <w:rsid w:val="003E1A5E"/>
    <w:rsid w:val="003F660E"/>
    <w:rsid w:val="004A697F"/>
    <w:rsid w:val="004B74AD"/>
    <w:rsid w:val="004D06B3"/>
    <w:rsid w:val="00502A72"/>
    <w:rsid w:val="00530CE1"/>
    <w:rsid w:val="0055271A"/>
    <w:rsid w:val="00566254"/>
    <w:rsid w:val="00577D88"/>
    <w:rsid w:val="00585D0F"/>
    <w:rsid w:val="005B4DC0"/>
    <w:rsid w:val="005C653C"/>
    <w:rsid w:val="005D0ED7"/>
    <w:rsid w:val="006016DE"/>
    <w:rsid w:val="00626142"/>
    <w:rsid w:val="0065149C"/>
    <w:rsid w:val="00661FF2"/>
    <w:rsid w:val="00680E58"/>
    <w:rsid w:val="0069323D"/>
    <w:rsid w:val="006A63D7"/>
    <w:rsid w:val="00737813"/>
    <w:rsid w:val="00741324"/>
    <w:rsid w:val="00760CB7"/>
    <w:rsid w:val="007B2EBD"/>
    <w:rsid w:val="007C3C0F"/>
    <w:rsid w:val="007C4E9C"/>
    <w:rsid w:val="007D026D"/>
    <w:rsid w:val="008069F0"/>
    <w:rsid w:val="0081440D"/>
    <w:rsid w:val="00825437"/>
    <w:rsid w:val="00862874"/>
    <w:rsid w:val="0089177D"/>
    <w:rsid w:val="008A706A"/>
    <w:rsid w:val="008D06F8"/>
    <w:rsid w:val="008E0593"/>
    <w:rsid w:val="00933B22"/>
    <w:rsid w:val="009357FD"/>
    <w:rsid w:val="009424F1"/>
    <w:rsid w:val="00957EB8"/>
    <w:rsid w:val="00960407"/>
    <w:rsid w:val="00993DE6"/>
    <w:rsid w:val="009946C2"/>
    <w:rsid w:val="009F7ADB"/>
    <w:rsid w:val="00A04D4F"/>
    <w:rsid w:val="00A04F52"/>
    <w:rsid w:val="00A23A58"/>
    <w:rsid w:val="00A7186D"/>
    <w:rsid w:val="00AD1E7C"/>
    <w:rsid w:val="00AF7596"/>
    <w:rsid w:val="00B00F4F"/>
    <w:rsid w:val="00B12A9D"/>
    <w:rsid w:val="00B509B9"/>
    <w:rsid w:val="00B96C5D"/>
    <w:rsid w:val="00BB5995"/>
    <w:rsid w:val="00BC4726"/>
    <w:rsid w:val="00BE226A"/>
    <w:rsid w:val="00C0472C"/>
    <w:rsid w:val="00C41B0A"/>
    <w:rsid w:val="00C6243B"/>
    <w:rsid w:val="00C70F1D"/>
    <w:rsid w:val="00CD4C8F"/>
    <w:rsid w:val="00D518D3"/>
    <w:rsid w:val="00D83988"/>
    <w:rsid w:val="00DA47BD"/>
    <w:rsid w:val="00DE64FE"/>
    <w:rsid w:val="00E30614"/>
    <w:rsid w:val="00E54C1D"/>
    <w:rsid w:val="00E860B6"/>
    <w:rsid w:val="00E87593"/>
    <w:rsid w:val="00E953FB"/>
    <w:rsid w:val="00EB73C8"/>
    <w:rsid w:val="00EE579E"/>
    <w:rsid w:val="00EF34A8"/>
    <w:rsid w:val="00F138C4"/>
    <w:rsid w:val="00F250B4"/>
    <w:rsid w:val="00F30E2E"/>
    <w:rsid w:val="00F530B0"/>
    <w:rsid w:val="00F5406E"/>
    <w:rsid w:val="00F6020D"/>
    <w:rsid w:val="00FC30AC"/>
    <w:rsid w:val="00FF2CEC"/>
    <w:rsid w:val="00F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D06B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EF34A8"/>
    <w:pPr>
      <w:widowControl w:val="0"/>
      <w:spacing w:after="0" w:line="240" w:lineRule="auto"/>
      <w:ind w:left="192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34A8"/>
    <w:rPr>
      <w:rFonts w:ascii="Verdana" w:eastAsia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0E2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E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30E2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813"/>
  </w:style>
  <w:style w:type="paragraph" w:styleId="Pidipagina">
    <w:name w:val="footer"/>
    <w:basedOn w:val="Normale"/>
    <w:link w:val="PidipaginaCarattere"/>
    <w:uiPriority w:val="99"/>
    <w:unhideWhenUsed/>
    <w:rsid w:val="0073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813"/>
  </w:style>
  <w:style w:type="paragraph" w:styleId="Paragrafoelenco">
    <w:name w:val="List Paragraph"/>
    <w:basedOn w:val="Normale"/>
    <w:uiPriority w:val="34"/>
    <w:qFormat/>
    <w:rsid w:val="00AF7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8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026D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4D06B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EF34A8"/>
    <w:pPr>
      <w:widowControl w:val="0"/>
      <w:spacing w:after="0" w:line="240" w:lineRule="auto"/>
      <w:ind w:left="192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F34A8"/>
    <w:rPr>
      <w:rFonts w:ascii="Verdana" w:eastAsia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58B32-43E7-4755-A094-D17A6B853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Programma Contabilità</cp:lastModifiedBy>
  <cp:revision>3</cp:revision>
  <cp:lastPrinted>2017-12-06T10:54:00Z</cp:lastPrinted>
  <dcterms:created xsi:type="dcterms:W3CDTF">2018-12-06T21:29:00Z</dcterms:created>
  <dcterms:modified xsi:type="dcterms:W3CDTF">2018-12-13T11:48:00Z</dcterms:modified>
</cp:coreProperties>
</file>